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45"/>
        <w:ind w:right="0"/>
        <w:jc w:val="center"/>
        <w:rPr>
          <w:rFonts w:hint="eastAsia" w:ascii="楷体" w:hAnsi="楷体" w:eastAsia="楷体" w:cs="楷体"/>
          <w:b/>
          <w:bCs/>
          <w:sz w:val="32"/>
          <w:szCs w:val="28"/>
          <w:lang w:val="en-US" w:eastAsia="zh-CN" w:bidi="en-US"/>
        </w:rPr>
      </w:pPr>
      <w:r>
        <w:rPr>
          <w:rFonts w:hint="eastAsia" w:ascii="楷体" w:hAnsi="楷体" w:eastAsia="楷体" w:cs="楷体"/>
          <w:b/>
          <w:bCs/>
          <w:sz w:val="32"/>
          <w:szCs w:val="28"/>
          <w:lang w:val="en-US" w:eastAsia="zh-CN" w:bidi="en-US"/>
        </w:rPr>
        <w:t>MSK</w:t>
      </w:r>
      <w:r>
        <w:rPr>
          <w:rFonts w:hint="eastAsia" w:ascii="楷体" w:hAnsi="楷体" w:eastAsia="楷体" w:cs="楷体"/>
          <w:b/>
          <w:bCs/>
          <w:sz w:val="32"/>
          <w:szCs w:val="28"/>
          <w:lang w:val="en-US" w:eastAsia="zh-CN" w:bidi="en-US"/>
        </w:rPr>
        <w:t>有机硅</w:t>
      </w:r>
      <w:r>
        <w:rPr>
          <w:rFonts w:hint="eastAsia" w:ascii="楷体" w:hAnsi="楷体" w:eastAsia="楷体" w:cs="楷体"/>
          <w:b/>
          <w:bCs/>
          <w:sz w:val="32"/>
          <w:szCs w:val="28"/>
          <w:lang w:val="en-US" w:eastAsia="zh-CN" w:bidi="en-US"/>
        </w:rPr>
        <w:t>导热粘接密封胶</w:t>
      </w:r>
      <w:r>
        <w:rPr>
          <w:rFonts w:hint="eastAsia" w:ascii="楷体" w:hAnsi="楷体" w:eastAsia="楷体" w:cs="楷体"/>
          <w:b/>
          <w:bCs/>
          <w:sz w:val="32"/>
          <w:szCs w:val="28"/>
          <w:lang w:val="en-US" w:eastAsia="zh-CN" w:bidi="en-US"/>
        </w:rPr>
        <w:t>MR</w:t>
      </w:r>
      <w:r>
        <w:rPr>
          <w:rFonts w:hint="eastAsia" w:ascii="楷体" w:hAnsi="楷体" w:eastAsia="楷体" w:cs="楷体"/>
          <w:b/>
          <w:bCs/>
          <w:sz w:val="32"/>
          <w:szCs w:val="28"/>
          <w:lang w:val="en-US" w:eastAsia="zh-CN" w:bidi="en-US"/>
        </w:rPr>
        <w:t>6238-WH281</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产品描述</w:t>
      </w:r>
    </w:p>
    <w:p>
      <w:pPr>
        <w:pStyle w:val="3"/>
        <w:spacing w:before="102" w:line="278" w:lineRule="auto"/>
        <w:ind w:left="-880" w:leftChars="-400" w:right="-630" w:rightChars="0" w:firstLine="440" w:firstLineChars="200"/>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M</w:t>
      </w:r>
      <w:r>
        <w:rPr>
          <w:rFonts w:hint="eastAsia" w:cs="楷体"/>
          <w:sz w:val="22"/>
          <w:szCs w:val="21"/>
          <w:lang w:val="en-US" w:eastAsia="zh-CN" w:bidi="en-US"/>
        </w:rPr>
        <w:t>R</w:t>
      </w:r>
      <w:r>
        <w:rPr>
          <w:rFonts w:hint="eastAsia" w:ascii="楷体" w:hAnsi="楷体" w:eastAsia="楷体" w:cs="楷体"/>
          <w:sz w:val="22"/>
          <w:szCs w:val="21"/>
          <w:lang w:val="en-US" w:eastAsia="zh-CN" w:bidi="en-US"/>
        </w:rPr>
        <w:t>6238-WH281有机硅导热粘接密封胶是一类高强度导热粘接密封粘接用单组份室温固化硅橡胶，本产品导热系数高， 粘接性好。固化后拉伸强度大，粘结性好，长期使用不会脱落，不会产生接触缝隙。中性无腐蚀、绝缘性优、防潮、抗震、耐电晕、抗漏电。胶料对金属和大多数塑料的粘接性良好，固化后具有卓越的传热和耐温性能,可在-50~250℃长期使用。</w:t>
      </w:r>
    </w:p>
    <w:p>
      <w:pPr>
        <w:spacing w:after="0" w:line="278" w:lineRule="auto"/>
        <w:sectPr>
          <w:headerReference r:id="rId3" w:type="default"/>
          <w:type w:val="continuous"/>
          <w:pgSz w:w="11910" w:h="16840"/>
          <w:pgMar w:top="840" w:right="1480" w:bottom="280" w:left="1600" w:header="280" w:footer="720" w:gutter="0"/>
        </w:sect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440" w:leftChars="-2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特性和优点</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不起雾，低挥发</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对各类材质粘接强度高</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对基材无腐蚀</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使用温度-50℃~200℃</w:t>
      </w:r>
    </w:p>
    <w:p>
      <w:pPr>
        <w:pStyle w:val="3"/>
        <w:rPr>
          <w:sz w:val="26"/>
        </w:rPr>
      </w:pPr>
    </w:p>
    <w:p>
      <w:pPr>
        <w:pStyle w:val="3"/>
        <w:rPr>
          <w:sz w:val="26"/>
        </w:rPr>
      </w:pPr>
    </w:p>
    <w:p>
      <w:pPr>
        <w:widowControl/>
        <w:autoSpaceDE/>
        <w:autoSpaceDN/>
        <w:spacing w:before="39" w:after="0" w:line="240" w:lineRule="auto"/>
        <w:ind w:left="-440" w:leftChars="-2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产品应用</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粘接固定</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灯具组件的导热粘接</w:t>
      </w:r>
    </w:p>
    <w:p>
      <w:pPr>
        <w:pStyle w:val="9"/>
        <w:widowControl/>
        <w:numPr>
          <w:ilvl w:val="0"/>
          <w:numId w:val="1"/>
        </w:numPr>
        <w:autoSpaceDE/>
        <w:autoSpaceDN/>
        <w:spacing w:before="5" w:after="0" w:line="240" w:lineRule="auto"/>
        <w:ind w:left="-440" w:leftChars="-200" w:right="0" w:firstLine="220" w:firstLineChars="10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大功率发热元件与散热器导热粘接</w:t>
      </w:r>
    </w:p>
    <w:p>
      <w:pPr>
        <w:pStyle w:val="3"/>
        <w:rPr>
          <w:sz w:val="24"/>
        </w:rPr>
      </w:pPr>
    </w:p>
    <w:p>
      <w:pPr>
        <w:pStyle w:val="3"/>
        <w:rPr>
          <w:sz w:val="24"/>
        </w:rPr>
      </w:pPr>
      <w:bookmarkStart w:id="0" w:name="_GoBack"/>
      <w:bookmarkEnd w:id="0"/>
    </w:p>
    <w:p>
      <w:pPr>
        <w:widowControl/>
        <w:autoSpaceDE/>
        <w:autoSpaceDN/>
        <w:spacing w:before="39" w:after="0" w:line="240" w:lineRule="auto"/>
        <w:ind w:left="-440" w:leftChars="-2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应用方法</w:t>
      </w:r>
    </w:p>
    <w:p>
      <w:pPr>
        <w:spacing w:before="112"/>
        <w:ind w:left="429" w:leftChars="195" w:right="-605" w:rightChars="-275" w:firstLine="9" w:firstLineChars="0"/>
        <w:jc w:val="left"/>
        <w:rPr>
          <w:sz w:val="28"/>
        </w:rPr>
      </w:pPr>
      <w:r>
        <w:br w:type="column"/>
      </w:r>
      <w:r>
        <w:rPr>
          <w:sz w:val="28"/>
        </w:rPr>
        <w:t>产品典型性能参数</w:t>
      </w:r>
    </w:p>
    <w:p>
      <w:pPr>
        <w:pStyle w:val="3"/>
        <w:spacing w:before="7"/>
        <w:rPr>
          <w:sz w:val="10"/>
        </w:rPr>
      </w:pPr>
    </w:p>
    <w:tbl>
      <w:tblPr>
        <w:tblStyle w:val="7"/>
        <w:tblW w:w="5231"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1"/>
        <w:gridCol w:w="1752"/>
        <w:gridCol w:w="1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性能</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lang w:val="en-US" w:eastAsia="zh-CN"/>
              </w:rPr>
              <w:t>M</w:t>
            </w:r>
            <w:r>
              <w:rPr>
                <w:rFonts w:hint="eastAsia" w:ascii="楷体" w:eastAsia="楷体" w:cs="Times New Roman"/>
                <w:sz w:val="18"/>
                <w:lang w:val="en-US" w:eastAsia="zh-CN"/>
              </w:rPr>
              <w:t>R</w:t>
            </w:r>
            <w:r>
              <w:rPr>
                <w:rFonts w:hint="eastAsia" w:ascii="楷体" w:hAnsi="Times New Roman" w:eastAsia="楷体" w:cs="Times New Roman"/>
                <w:sz w:val="18"/>
              </w:rPr>
              <w:t>6238-WH281</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测试标准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 w:hRule="atLeast"/>
        </w:trPr>
        <w:tc>
          <w:tcPr>
            <w:tcW w:w="5231" w:type="dxa"/>
            <w:gridSpan w:val="3"/>
            <w:shd w:val="clear" w:color="auto" w:fill="33CC33"/>
          </w:tcPr>
          <w:p>
            <w:pPr>
              <w:pStyle w:val="10"/>
              <w:spacing w:before="52"/>
              <w:ind w:left="369"/>
              <w:jc w:val="left"/>
              <w:rPr>
                <w:rFonts w:hint="eastAsia" w:ascii="楷体" w:eastAsia="楷体"/>
                <w:sz w:val="18"/>
              </w:rPr>
            </w:pPr>
            <w:r>
              <w:rPr>
                <w:rFonts w:hint="eastAsia" w:ascii="楷体" w:eastAsia="楷体"/>
                <w:sz w:val="18"/>
              </w:rPr>
              <w:t>未固化性能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颜色</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白</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外观</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膏状物</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目视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 w:hRule="atLeast"/>
        </w:trPr>
        <w:tc>
          <w:tcPr>
            <w:tcW w:w="5231" w:type="dxa"/>
            <w:gridSpan w:val="3"/>
            <w:shd w:val="clear" w:color="auto" w:fill="33CC33"/>
          </w:tcPr>
          <w:p>
            <w:pPr>
              <w:pStyle w:val="10"/>
              <w:spacing w:before="55"/>
              <w:ind w:left="369"/>
              <w:jc w:val="left"/>
              <w:rPr>
                <w:rFonts w:hint="eastAsia" w:ascii="楷体" w:eastAsia="楷体"/>
                <w:sz w:val="18"/>
              </w:rPr>
            </w:pPr>
            <w:r>
              <w:rPr>
                <w:rFonts w:hint="eastAsia" w:ascii="楷体" w:eastAsia="楷体"/>
                <w:sz w:val="18"/>
              </w:rPr>
              <w:t>操作性能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表干时间/min</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≤10</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5"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固化时间/h@25℃</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24</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点胶厚度 4mm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231" w:type="dxa"/>
            <w:gridSpan w:val="3"/>
            <w:shd w:val="clear" w:color="auto" w:fill="33CC33"/>
          </w:tcPr>
          <w:p>
            <w:pPr>
              <w:pStyle w:val="10"/>
              <w:spacing w:before="55"/>
              <w:ind w:left="369"/>
              <w:jc w:val="left"/>
              <w:rPr>
                <w:rFonts w:hint="eastAsia" w:ascii="楷体" w:eastAsia="楷体"/>
                <w:sz w:val="18"/>
              </w:rPr>
            </w:pPr>
            <w:r>
              <w:rPr>
                <w:rFonts w:hint="eastAsia" w:ascii="楷体" w:eastAsia="楷体"/>
                <w:sz w:val="18"/>
              </w:rPr>
              <w:t>固化后性能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 w:hRule="atLeast"/>
        </w:trPr>
        <w:tc>
          <w:tcPr>
            <w:tcW w:w="1941" w:type="dxa"/>
            <w:tcBorders>
              <w:right w:val="nil"/>
            </w:tcBorders>
          </w:tcPr>
          <w:p>
            <w:pPr>
              <w:pStyle w:val="10"/>
              <w:spacing w:before="27"/>
              <w:ind w:right="75"/>
              <w:rPr>
                <w:sz w:val="13"/>
              </w:rPr>
            </w:pPr>
            <w:r>
              <w:rPr>
                <w:rFonts w:hint="eastAsia" w:ascii="楷体" w:hAnsi="Times New Roman" w:eastAsia="楷体" w:cs="Times New Roman"/>
                <w:sz w:val="18"/>
              </w:rPr>
              <w:t xml:space="preserve">密度 </w:t>
            </w:r>
            <w:r>
              <w:rPr>
                <w:sz w:val="21"/>
              </w:rPr>
              <w:t>g/cm</w:t>
            </w:r>
            <w:r>
              <w:rPr>
                <w:position w:val="7"/>
                <w:sz w:val="13"/>
              </w:rPr>
              <w:t>3</w:t>
            </w:r>
          </w:p>
        </w:tc>
        <w:tc>
          <w:tcPr>
            <w:tcW w:w="1752" w:type="dxa"/>
            <w:tcBorders>
              <w:left w:val="nil"/>
              <w:right w:val="nil"/>
            </w:tcBorders>
          </w:tcPr>
          <w:p>
            <w:pPr>
              <w:pStyle w:val="10"/>
              <w:spacing w:before="47"/>
              <w:ind w:left="76" w:right="33"/>
              <w:rPr>
                <w:rFonts w:hint="default" w:eastAsia="楷体"/>
                <w:sz w:val="18"/>
                <w:lang w:val="en-US" w:eastAsia="zh-CN"/>
              </w:rPr>
            </w:pPr>
            <w:r>
              <w:rPr>
                <w:rFonts w:hint="eastAsia" w:ascii="楷体" w:eastAsia="楷体" w:cs="Times New Roman"/>
                <w:sz w:val="18"/>
                <w:lang w:val="en-US" w:eastAsia="zh-CN"/>
              </w:rPr>
              <w:t>3.2</w:t>
            </w:r>
            <w:r>
              <w:rPr>
                <w:rFonts w:hint="eastAsia" w:ascii="楷体" w:hAnsi="Times New Roman" w:eastAsia="楷体" w:cs="Times New Roman"/>
                <w:sz w:val="18"/>
              </w:rPr>
              <w:t>±</w:t>
            </w:r>
            <w:r>
              <w:rPr>
                <w:rFonts w:hint="eastAsia" w:ascii="楷体" w:eastAsia="楷体" w:cs="Times New Roman"/>
                <w:sz w:val="18"/>
                <w:lang w:val="en-US" w:eastAsia="zh-CN"/>
              </w:rPr>
              <w:t>0.1</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7"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硬度/邵A</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70±5</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D2240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9"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抗拉强度/MPa</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&gt;1.0</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粘接强度/MPa</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＞1.0</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D3528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1"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介电强度/kV/mm</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&gt;10</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 w:hRule="atLeast"/>
        </w:trPr>
        <w:tc>
          <w:tcPr>
            <w:tcW w:w="1941" w:type="dxa"/>
            <w:tcBorders>
              <w:right w:val="nil"/>
            </w:tcBorders>
          </w:tcPr>
          <w:p>
            <w:pPr>
              <w:pStyle w:val="10"/>
              <w:ind w:right="78"/>
              <w:rPr>
                <w:sz w:val="18"/>
              </w:rPr>
            </w:pPr>
            <w:r>
              <w:rPr>
                <w:rFonts w:hint="eastAsia" w:ascii="楷体" w:hAnsi="楷体" w:eastAsia="楷体"/>
                <w:sz w:val="18"/>
              </w:rPr>
              <w:t>体积电阻率</w:t>
            </w:r>
            <w:r>
              <w:rPr>
                <w:sz w:val="18"/>
              </w:rPr>
              <w:t>/Ω·cm</w:t>
            </w:r>
          </w:p>
        </w:tc>
        <w:tc>
          <w:tcPr>
            <w:tcW w:w="1752" w:type="dxa"/>
            <w:tcBorders>
              <w:left w:val="nil"/>
              <w:right w:val="nil"/>
            </w:tcBorders>
          </w:tcPr>
          <w:p>
            <w:pPr>
              <w:pStyle w:val="10"/>
              <w:spacing w:before="59"/>
              <w:ind w:left="75" w:right="33"/>
              <w:rPr>
                <w:sz w:val="11"/>
              </w:rPr>
            </w:pPr>
            <w:r>
              <w:rPr>
                <w:sz w:val="18"/>
              </w:rPr>
              <w:t xml:space="preserve">&gt;10 </w:t>
            </w:r>
            <w:r>
              <w:rPr>
                <w:position w:val="6"/>
                <w:sz w:val="11"/>
              </w:rPr>
              <w:t>13</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 w:hRule="atLeast"/>
        </w:trPr>
        <w:tc>
          <w:tcPr>
            <w:tcW w:w="1941" w:type="dxa"/>
            <w:tcBorders>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导热系数 w/m.k</w:t>
            </w:r>
          </w:p>
        </w:tc>
        <w:tc>
          <w:tcPr>
            <w:tcW w:w="1752" w:type="dxa"/>
            <w:tcBorders>
              <w:left w:val="nil"/>
              <w:righ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≥2.5</w:t>
            </w:r>
          </w:p>
        </w:tc>
        <w:tc>
          <w:tcPr>
            <w:tcW w:w="1538" w:type="dxa"/>
            <w:tcBorders>
              <w:left w:val="nil"/>
            </w:tcBorders>
          </w:tcPr>
          <w:p>
            <w:pPr>
              <w:pStyle w:val="10"/>
              <w:spacing w:before="48"/>
              <w:ind w:right="76"/>
              <w:rPr>
                <w:rFonts w:hint="eastAsia" w:ascii="楷体" w:hAnsi="Times New Roman" w:eastAsia="楷体" w:cs="Times New Roman"/>
                <w:sz w:val="18"/>
              </w:rPr>
            </w:pPr>
            <w:r>
              <w:rPr>
                <w:rFonts w:hint="eastAsia" w:ascii="楷体" w:hAnsi="Times New Roman" w:eastAsia="楷体" w:cs="Times New Roman"/>
                <w:sz w:val="18"/>
              </w:rPr>
              <w:t>ASTM D5470</w:t>
            </w:r>
          </w:p>
        </w:tc>
      </w:tr>
    </w:tbl>
    <w:p>
      <w:pPr>
        <w:spacing w:after="0"/>
        <w:rPr>
          <w:sz w:val="18"/>
        </w:rPr>
        <w:sectPr>
          <w:type w:val="continuous"/>
          <w:pgSz w:w="11910" w:h="16840"/>
          <w:pgMar w:top="840" w:right="850" w:bottom="280" w:left="1160" w:header="720" w:footer="720" w:gutter="0"/>
          <w:cols w:equalWidth="0" w:num="2">
            <w:col w:w="4074" w:space="82"/>
            <w:col w:w="5744"/>
          </w:cols>
        </w:sectPr>
      </w:pPr>
    </w:p>
    <w:p>
      <w:pPr>
        <w:pStyle w:val="3"/>
        <w:tabs>
          <w:tab w:val="left" w:pos="440"/>
        </w:tabs>
        <w:spacing w:before="155" w:line="278" w:lineRule="auto"/>
        <w:ind w:left="-660" w:leftChars="-300" w:right="-470" w:rightChars="0" w:firstLine="440" w:firstLineChars="20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将被粘或被涂覆物表面整理干净，除去锈迹、灰尘和油污等。先用盖帽尖端刺破胶管封口，套上尖嘴，将胶液挤到已清理干净的表面，使之分布均匀，将被粘面合拢固定即可。将涂装好的部件置于空气中，室温固化 24 小时后即可投入使用。操作完成后，未用完的胶应立即拧紧盖帽，密封保存。再次使用时，若封口处有少许结皮，将其去除即可，不影响正常使用。</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注意事项</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1、远离儿童存放。</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2、若不慎接触皮肤，擦拭干净，然后用清水冲洗。若不慎接触眼睛，立即用清水冲洗并到医院检查。</w:t>
      </w:r>
    </w:p>
    <w:p>
      <w:pPr>
        <w:pStyle w:val="3"/>
        <w:tabs>
          <w:tab w:val="left" w:pos="440"/>
        </w:tabs>
        <w:spacing w:before="155" w:line="240" w:lineRule="auto"/>
        <w:ind w:left="-660" w:leftChars="-300" w:right="-470" w:rightChars="0" w:firstLine="0" w:firstLineChars="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3、建议在通风良好处使用。</w:t>
      </w: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包装规格：</w:t>
      </w:r>
      <w:r>
        <w:rPr>
          <w:rFonts w:hint="eastAsia" w:ascii="楷体" w:hAnsi="楷体" w:eastAsia="楷体" w:cs="楷体"/>
          <w:b/>
          <w:bCs/>
          <w:sz w:val="24"/>
          <w:szCs w:val="22"/>
          <w:lang w:val="en-US" w:eastAsia="zh-CN" w:bidi="en-US"/>
        </w:rPr>
        <w:tab/>
      </w:r>
    </w:p>
    <w:p>
      <w:pPr>
        <w:pStyle w:val="3"/>
        <w:tabs>
          <w:tab w:val="left" w:pos="440"/>
        </w:tabs>
        <w:spacing w:before="155" w:line="278" w:lineRule="auto"/>
        <w:ind w:left="-660" w:leftChars="-300" w:right="-470" w:rightChars="0" w:firstLine="220" w:firstLineChars="100"/>
        <w:jc w:val="both"/>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300ml/支，24 支/箱；100ml/支，100 支/箱。2.6L/支，4 支/箱。</w:t>
      </w:r>
    </w:p>
    <w:p>
      <w:pPr>
        <w:pStyle w:val="3"/>
        <w:spacing w:before="9"/>
        <w:rPr>
          <w:sz w:val="20"/>
        </w:rPr>
      </w:pPr>
    </w:p>
    <w:p>
      <w:pPr>
        <w:widowControl/>
        <w:autoSpaceDE/>
        <w:autoSpaceDN/>
        <w:spacing w:before="39" w:after="0" w:line="240" w:lineRule="auto"/>
        <w:ind w:left="-880" w:leftChars="-400" w:right="140" w:firstLine="0" w:firstLineChars="0"/>
        <w:jc w:val="left"/>
        <w:rPr>
          <w:rFonts w:hint="eastAsia" w:ascii="楷体" w:hAnsi="楷体" w:eastAsia="楷体" w:cs="楷体"/>
          <w:b/>
          <w:bCs/>
          <w:sz w:val="24"/>
          <w:szCs w:val="22"/>
          <w:lang w:val="en-US" w:eastAsia="zh-CN" w:bidi="en-US"/>
        </w:rPr>
      </w:pPr>
      <w:r>
        <w:rPr>
          <w:rFonts w:hint="eastAsia" w:ascii="楷体" w:hAnsi="楷体" w:eastAsia="楷体" w:cs="楷体"/>
          <w:b/>
          <w:bCs/>
          <w:sz w:val="24"/>
          <w:szCs w:val="22"/>
          <w:lang w:val="en-US" w:eastAsia="zh-CN" w:bidi="en-US"/>
        </w:rPr>
        <w:t>储存</w:t>
      </w:r>
    </w:p>
    <w:p>
      <w:pPr>
        <w:spacing w:before="138" w:line="256" w:lineRule="auto"/>
        <w:ind w:left="-439" w:leftChars="0" w:right="-630" w:rightChars="0" w:firstLine="0" w:firstLineChars="0"/>
        <w:jc w:val="left"/>
        <w:rPr>
          <w:rFonts w:hint="eastAsia" w:ascii="楷体" w:hAnsi="楷体" w:eastAsia="楷体" w:cs="楷体"/>
          <w:sz w:val="22"/>
          <w:szCs w:val="21"/>
          <w:lang w:val="en-US" w:eastAsia="zh-CN" w:bidi="en-US"/>
        </w:rPr>
      </w:pPr>
      <w:r>
        <w:rPr>
          <w:rFonts w:hint="eastAsia" w:ascii="楷体" w:hAnsi="楷体" w:eastAsia="楷体" w:cs="楷体"/>
          <w:sz w:val="22"/>
          <w:szCs w:val="21"/>
          <w:lang w:val="en-US" w:eastAsia="zh-CN" w:bidi="en-US"/>
        </w:rPr>
        <w:t>在 30℃以下于阴凉干燥处密封保存。产品保质期为自生产日期后九个月。按一般化学品搬运、运输。</w:t>
      </w:r>
    </w:p>
    <w:sectPr>
      <w:type w:val="continuous"/>
      <w:pgSz w:w="11910" w:h="16840"/>
      <w:pgMar w:top="840" w:right="1480" w:bottom="280" w:left="16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86"/>
    <w:family w:val="decorative"/>
    <w:pitch w:val="default"/>
    <w:sig w:usb0="E00002FF" w:usb1="4000ACFF" w:usb2="00000001" w:usb3="00000000" w:csb0="2000019F"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libri">
    <w:panose1 w:val="020F0502020204030204"/>
    <w:charset w:val="86"/>
    <w:family w:val="roman"/>
    <w:pitch w:val="default"/>
    <w:sig w:usb0="E00002FF" w:usb1="4000ACFF" w:usb2="00000001" w:usb3="00000000" w:csb0="2000019F"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implified Arabic Fixed">
    <w:panose1 w:val="02070309020205020404"/>
    <w:charset w:val="00"/>
    <w:family w:val="auto"/>
    <w:pitch w:val="default"/>
    <w:sig w:usb0="00002003" w:usb1="00000000" w:usb2="00000000" w:usb3="00000000" w:csb0="00000041" w:csb1="20080000"/>
  </w:font>
  <w:font w:name="Trebuchet MS">
    <w:panose1 w:val="020B0603020202020204"/>
    <w:charset w:val="00"/>
    <w:family w:val="auto"/>
    <w:pitch w:val="default"/>
    <w:sig w:usb0="00000287" w:usb1="00000000" w:usb2="00000000" w:usb3="00000000" w:csb0="2000009F" w:csb1="00000000"/>
  </w:font>
  <w:font w:name="Simplified Arabic">
    <w:panose1 w:val="02020603050405020304"/>
    <w:charset w:val="00"/>
    <w:family w:val="auto"/>
    <w:pitch w:val="default"/>
    <w:sig w:usb0="00002003" w:usb1="00000000" w:usb2="00000000" w:usb3="00000000" w:csb0="00000041" w:csb1="2008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ind w:left="-880" w:leftChars="-400" w:firstLine="0" w:firstLineChars="0"/>
    </w:pPr>
    <w:r>
      <w:rPr>
        <w:rFonts w:hint="eastAsia" w:ascii="微软雅黑" w:hAnsi="微软雅黑" w:eastAsia="微软雅黑" w:cs="微软雅黑"/>
        <w:sz w:val="24"/>
        <w:lang w:eastAsia="zh-CN"/>
      </w:rPr>
      <w:drawing>
        <wp:inline distT="0" distB="0" distL="114300" distR="114300">
          <wp:extent cx="6610350" cy="1403350"/>
          <wp:effectExtent l="0" t="0" r="0" b="6350"/>
          <wp:docPr id="7" name="图片 2" descr="微信图片_2018030509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微信图片_20180305090440"/>
                  <pic:cNvPicPr>
                    <a:picLocks noChangeAspect="1"/>
                  </pic:cNvPicPr>
                </pic:nvPicPr>
                <pic:blipFill>
                  <a:blip r:embed="rId1"/>
                  <a:stretch>
                    <a:fillRect/>
                  </a:stretch>
                </pic:blipFill>
                <pic:spPr>
                  <a:xfrm>
                    <a:off x="0" y="0"/>
                    <a:ext cx="6610350" cy="1403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447822">
    <w:nsid w:val="0053208E"/>
    <w:multiLevelType w:val="multilevel"/>
    <w:tmpl w:val="0053208E"/>
    <w:lvl w:ilvl="0" w:tentative="1">
      <w:start w:val="0"/>
      <w:numFmt w:val="bullet"/>
      <w:lvlText w:val="•"/>
      <w:lvlJc w:val="left"/>
      <w:pPr>
        <w:ind w:left="294" w:hanging="142"/>
      </w:pPr>
      <w:rPr>
        <w:rFonts w:hint="default" w:ascii="宋体" w:hAnsi="宋体" w:eastAsia="宋体" w:cs="宋体"/>
        <w:spacing w:val="1"/>
        <w:w w:val="100"/>
        <w:sz w:val="26"/>
        <w:szCs w:val="26"/>
        <w:lang w:val="en-US" w:eastAsia="en-US" w:bidi="en-US"/>
      </w:rPr>
    </w:lvl>
    <w:lvl w:ilvl="1" w:tentative="1">
      <w:start w:val="0"/>
      <w:numFmt w:val="bullet"/>
      <w:lvlText w:val="•"/>
      <w:lvlJc w:val="left"/>
      <w:pPr>
        <w:ind w:left="1272" w:hanging="142"/>
      </w:pPr>
      <w:rPr>
        <w:rFonts w:hint="default"/>
        <w:lang w:val="en-US" w:eastAsia="en-US" w:bidi="en-US"/>
      </w:rPr>
    </w:lvl>
    <w:lvl w:ilvl="2" w:tentative="1">
      <w:start w:val="0"/>
      <w:numFmt w:val="bullet"/>
      <w:lvlText w:val="•"/>
      <w:lvlJc w:val="left"/>
      <w:pPr>
        <w:ind w:left="2245" w:hanging="142"/>
      </w:pPr>
      <w:rPr>
        <w:rFonts w:hint="default"/>
        <w:lang w:val="en-US" w:eastAsia="en-US" w:bidi="en-US"/>
      </w:rPr>
    </w:lvl>
    <w:lvl w:ilvl="3" w:tentative="1">
      <w:start w:val="0"/>
      <w:numFmt w:val="bullet"/>
      <w:lvlText w:val="•"/>
      <w:lvlJc w:val="left"/>
      <w:pPr>
        <w:ind w:left="3217" w:hanging="142"/>
      </w:pPr>
      <w:rPr>
        <w:rFonts w:hint="default"/>
        <w:lang w:val="en-US" w:eastAsia="en-US" w:bidi="en-US"/>
      </w:rPr>
    </w:lvl>
    <w:lvl w:ilvl="4" w:tentative="1">
      <w:start w:val="0"/>
      <w:numFmt w:val="bullet"/>
      <w:lvlText w:val="•"/>
      <w:lvlJc w:val="left"/>
      <w:pPr>
        <w:ind w:left="4190" w:hanging="142"/>
      </w:pPr>
      <w:rPr>
        <w:rFonts w:hint="default"/>
        <w:lang w:val="en-US" w:eastAsia="en-US" w:bidi="en-US"/>
      </w:rPr>
    </w:lvl>
    <w:lvl w:ilvl="5" w:tentative="1">
      <w:start w:val="0"/>
      <w:numFmt w:val="bullet"/>
      <w:lvlText w:val="•"/>
      <w:lvlJc w:val="left"/>
      <w:pPr>
        <w:ind w:left="5163" w:hanging="142"/>
      </w:pPr>
      <w:rPr>
        <w:rFonts w:hint="default"/>
        <w:lang w:val="en-US" w:eastAsia="en-US" w:bidi="en-US"/>
      </w:rPr>
    </w:lvl>
    <w:lvl w:ilvl="6" w:tentative="1">
      <w:start w:val="0"/>
      <w:numFmt w:val="bullet"/>
      <w:lvlText w:val="•"/>
      <w:lvlJc w:val="left"/>
      <w:pPr>
        <w:ind w:left="6135" w:hanging="142"/>
      </w:pPr>
      <w:rPr>
        <w:rFonts w:hint="default"/>
        <w:lang w:val="en-US" w:eastAsia="en-US" w:bidi="en-US"/>
      </w:rPr>
    </w:lvl>
    <w:lvl w:ilvl="7" w:tentative="1">
      <w:start w:val="0"/>
      <w:numFmt w:val="bullet"/>
      <w:lvlText w:val="•"/>
      <w:lvlJc w:val="left"/>
      <w:pPr>
        <w:ind w:left="7108" w:hanging="142"/>
      </w:pPr>
      <w:rPr>
        <w:rFonts w:hint="default"/>
        <w:lang w:val="en-US" w:eastAsia="en-US" w:bidi="en-US"/>
      </w:rPr>
    </w:lvl>
    <w:lvl w:ilvl="8" w:tentative="1">
      <w:start w:val="0"/>
      <w:numFmt w:val="bullet"/>
      <w:lvlText w:val="•"/>
      <w:lvlJc w:val="left"/>
      <w:pPr>
        <w:ind w:left="8081" w:hanging="142"/>
      </w:pPr>
      <w:rPr>
        <w:rFonts w:hint="default"/>
        <w:lang w:val="en-US" w:eastAsia="en-US" w:bidi="en-US"/>
      </w:rPr>
    </w:lvl>
  </w:abstractNum>
  <w:num w:numId="1">
    <w:abstractNumId w:val="54478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7C049A"/>
    <w:rsid w:val="602727C2"/>
    <w:rsid w:val="7533533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101"/>
      <w:outlineLvl w:val="1"/>
    </w:pPr>
    <w:rPr>
      <w:rFonts w:ascii="楷体" w:hAnsi="楷体" w:eastAsia="楷体" w:cs="楷体"/>
      <w:sz w:val="28"/>
      <w:szCs w:val="28"/>
      <w:lang w:val="zh-CN" w:eastAsia="zh-CN" w:bidi="zh-CN"/>
    </w:rPr>
  </w:style>
  <w:style w:type="character" w:default="1" w:styleId="6">
    <w:name w:val="Default Paragraph Font"/>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楷体" w:hAnsi="楷体" w:eastAsia="楷体" w:cs="楷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List Paragraph"/>
    <w:basedOn w:val="1"/>
    <w:qFormat/>
    <w:uiPriority w:val="1"/>
    <w:pPr>
      <w:spacing w:before="4"/>
      <w:ind w:left="764" w:hanging="86"/>
    </w:pPr>
    <w:rPr>
      <w:rFonts w:ascii="楷体" w:hAnsi="楷体" w:eastAsia="楷体" w:cs="楷体"/>
      <w:lang w:val="zh-CN" w:eastAsia="zh-CN" w:bidi="zh-CN"/>
    </w:rPr>
  </w:style>
  <w:style w:type="paragraph" w:customStyle="1" w:styleId="10">
    <w:name w:val="Table Paragraph"/>
    <w:basedOn w:val="1"/>
    <w:qFormat/>
    <w:uiPriority w:val="1"/>
    <w:pPr>
      <w:spacing w:before="50"/>
      <w:ind w:left="94"/>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2020-04-09T02:12:00Z</dcterms:created>
  <dc:creator>Administrator</dc:creator>
  <cp:lastModifiedBy>Administrator</cp:lastModifiedBy>
  <dcterms:modified xsi:type="dcterms:W3CDTF">2020-04-21T03:42:24Z</dcterms:modified>
  <dc:title>TDS TBL-6238-WH281.doc</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TDS TBL-6238-WH281.doc - WPS 文字 - 兼容模式</vt:lpwstr>
  </property>
  <property fmtid="{D5CDD505-2E9C-101B-9397-08002B2CF9AE}" pid="4" name="LastSaved">
    <vt:filetime>2020-04-09T00:00:00Z</vt:filetime>
  </property>
  <property fmtid="{D5CDD505-2E9C-101B-9397-08002B2CF9AE}" pid="5" name="KSOProductBuildVer">
    <vt:lpwstr>2052-10.8.0.5391</vt:lpwstr>
  </property>
</Properties>
</file>