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line="279" w:lineRule="exact"/>
        <w:jc w:val="both"/>
        <w:rPr>
          <w:rFonts w:hint="eastAsia" w:ascii="宋?" w:hAnsi="宋?" w:eastAsia="PMingLiU" w:cs="宋?"/>
          <w:b/>
          <w:bCs/>
          <w:color w:val="000000"/>
          <w:kern w:val="0"/>
          <w:sz w:val="28"/>
          <w:szCs w:val="28"/>
          <w:lang w:eastAsia="zh-TW"/>
        </w:rPr>
      </w:pPr>
      <w:r>
        <w:rPr>
          <w:rStyle w:val="5"/>
          <w:rFonts w:hint="eastAsia" w:ascii="宋体" w:hAnsi="宋体" w:eastAsia="宋体" w:cs="宋体"/>
          <w:color w:val="000000"/>
          <w:spacing w:val="1"/>
          <w:sz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410210</wp:posOffset>
            </wp:positionH>
            <wp:positionV relativeFrom="page">
              <wp:posOffset>294005</wp:posOffset>
            </wp:positionV>
            <wp:extent cx="6807200" cy="1632585"/>
            <wp:effectExtent l="0" t="0" r="12700" b="5715"/>
            <wp:wrapTopAndBottom/>
            <wp:docPr id="2" name="图片 8" descr="fe2b9e081c8a5ac86e198126371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fe2b9e081c8a5ac86e1981263711c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center"/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  <w:t>MSK有机硅粘接密封胶MR6231-TM</w:t>
      </w: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产品描述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cs="楷体"/>
          <w:sz w:val="22"/>
          <w:szCs w:val="21"/>
          <w:lang w:val="en-US" w:eastAsia="zh-CN" w:bidi="en-US"/>
        </w:rPr>
        <w:t xml:space="preserve">    </w:t>
      </w: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MR6231-TM 是一种单组份室温固化有机硅胶粘剂，本产品具有良好的粘接性。 胶固化后拉伸强度大，粘结性好，长期使用不会脱落，不会产生接触缝隙。中性无腐蚀、绝缘性优、   防潮、抗震、耐电晕、抗漏电。胶料对金属和大多数塑料的粘接性良好，固化后具有卓越的耐高温高湿、耐老化等性能,可在-50~250℃长期使用。</w:t>
      </w:r>
    </w:p>
    <w:p>
      <w:pPr>
        <w:spacing w:after="0" w:line="278" w:lineRule="auto"/>
        <w:sectPr>
          <w:pgSz w:w="11910" w:h="16840"/>
          <w:pgMar w:top="720" w:right="720" w:bottom="720" w:left="720" w:header="720" w:footer="720" w:gutter="0"/>
        </w:sectPr>
      </w:pP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特性和优点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耐高温高湿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粘接强度高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对基材无腐蚀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使用温度-50℃~200℃</w:t>
      </w:r>
    </w:p>
    <w:p>
      <w:pPr>
        <w:pStyle w:val="3"/>
        <w:spacing w:before="8"/>
        <w:rPr>
          <w:sz w:val="31"/>
        </w:rPr>
      </w:pP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产品应用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粘接固定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PCB 板元件固定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LED 灯具粘接固定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sz w:val="28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防潮密封</w:t>
      </w:r>
    </w:p>
    <w:p>
      <w:pPr>
        <w:pStyle w:val="9"/>
        <w:numPr>
          <w:numId w:val="0"/>
        </w:numPr>
        <w:tabs>
          <w:tab w:val="left" w:pos="295"/>
        </w:tabs>
        <w:spacing w:before="5" w:after="0" w:line="240" w:lineRule="auto"/>
        <w:ind w:right="0" w:rightChars="0"/>
        <w:jc w:val="left"/>
        <w:rPr>
          <w:sz w:val="28"/>
        </w:rPr>
      </w:pPr>
      <w:r>
        <w:br w:type="column"/>
      </w: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产品典型性能参数</w:t>
      </w:r>
    </w:p>
    <w:p>
      <w:pPr>
        <w:pStyle w:val="3"/>
        <w:spacing w:before="7"/>
        <w:rPr>
          <w:sz w:val="10"/>
        </w:rPr>
      </w:pPr>
    </w:p>
    <w:tbl>
      <w:tblPr>
        <w:tblStyle w:val="6"/>
        <w:tblW w:w="5200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1661"/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991" w:type="dxa"/>
            <w:tcBorders>
              <w:righ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性能</w:t>
            </w:r>
          </w:p>
        </w:tc>
        <w:tc>
          <w:tcPr>
            <w:tcW w:w="1661" w:type="dxa"/>
            <w:tcBorders>
              <w:left w:val="nil"/>
              <w:righ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  <w:lang w:val="en-US" w:eastAsia="zh-CN"/>
              </w:rPr>
              <w:t>MR</w:t>
            </w:r>
            <w:r>
              <w:rPr>
                <w:rFonts w:hint="eastAsia" w:ascii="楷体" w:eastAsia="楷体"/>
                <w:sz w:val="18"/>
                <w:szCs w:val="22"/>
              </w:rPr>
              <w:t>-6231-TM</w:t>
            </w:r>
          </w:p>
        </w:tc>
        <w:tc>
          <w:tcPr>
            <w:tcW w:w="1548" w:type="dxa"/>
            <w:tcBorders>
              <w:lef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测试标准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200" w:type="dxa"/>
            <w:gridSpan w:val="3"/>
            <w:shd w:val="clear" w:color="auto" w:fill="33CC33"/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未固化性能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991" w:type="dxa"/>
            <w:tcBorders>
              <w:righ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颜色</w:t>
            </w:r>
          </w:p>
        </w:tc>
        <w:tc>
          <w:tcPr>
            <w:tcW w:w="1661" w:type="dxa"/>
            <w:tcBorders>
              <w:left w:val="nil"/>
              <w:righ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半透明</w:t>
            </w:r>
          </w:p>
        </w:tc>
        <w:tc>
          <w:tcPr>
            <w:tcW w:w="1548" w:type="dxa"/>
            <w:tcBorders>
              <w:lef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目视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991" w:type="dxa"/>
            <w:tcBorders>
              <w:righ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外观</w:t>
            </w:r>
          </w:p>
        </w:tc>
        <w:tc>
          <w:tcPr>
            <w:tcW w:w="1661" w:type="dxa"/>
            <w:tcBorders>
              <w:left w:val="nil"/>
              <w:righ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半膏状</w:t>
            </w:r>
          </w:p>
        </w:tc>
        <w:tc>
          <w:tcPr>
            <w:tcW w:w="1548" w:type="dxa"/>
            <w:tcBorders>
              <w:lef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目视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00" w:type="dxa"/>
            <w:gridSpan w:val="3"/>
            <w:shd w:val="clear" w:color="auto" w:fill="33CC33"/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操作性能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991" w:type="dxa"/>
            <w:tcBorders>
              <w:righ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表干时间/min</w:t>
            </w:r>
          </w:p>
        </w:tc>
        <w:tc>
          <w:tcPr>
            <w:tcW w:w="1661" w:type="dxa"/>
            <w:tcBorders>
              <w:left w:val="nil"/>
              <w:righ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&lt;15</w:t>
            </w:r>
          </w:p>
        </w:tc>
        <w:tc>
          <w:tcPr>
            <w:tcW w:w="1548" w:type="dxa"/>
            <w:tcBorders>
              <w:lef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991" w:type="dxa"/>
            <w:tcBorders>
              <w:righ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固化时间/h@25℃</w:t>
            </w:r>
          </w:p>
        </w:tc>
        <w:tc>
          <w:tcPr>
            <w:tcW w:w="1661" w:type="dxa"/>
            <w:tcBorders>
              <w:left w:val="nil"/>
              <w:righ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24</w:t>
            </w:r>
          </w:p>
        </w:tc>
        <w:tc>
          <w:tcPr>
            <w:tcW w:w="1548" w:type="dxa"/>
            <w:tcBorders>
              <w:lef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点胶厚度 2mm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00" w:type="dxa"/>
            <w:gridSpan w:val="3"/>
            <w:shd w:val="clear" w:color="auto" w:fill="33CC33"/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固化后性能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991" w:type="dxa"/>
            <w:tcBorders>
              <w:righ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硬度/邵 A</w:t>
            </w:r>
          </w:p>
        </w:tc>
        <w:tc>
          <w:tcPr>
            <w:tcW w:w="1661" w:type="dxa"/>
            <w:tcBorders>
              <w:left w:val="nil"/>
              <w:righ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30±2</w:t>
            </w:r>
          </w:p>
        </w:tc>
        <w:tc>
          <w:tcPr>
            <w:tcW w:w="1548" w:type="dxa"/>
            <w:tcBorders>
              <w:lef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ASTM D2240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991" w:type="dxa"/>
            <w:tcBorders>
              <w:righ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剪切强度/MPa</w:t>
            </w:r>
          </w:p>
        </w:tc>
        <w:tc>
          <w:tcPr>
            <w:tcW w:w="1661" w:type="dxa"/>
            <w:tcBorders>
              <w:left w:val="nil"/>
              <w:righ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&gt;1.5</w:t>
            </w:r>
          </w:p>
        </w:tc>
        <w:tc>
          <w:tcPr>
            <w:tcW w:w="1548" w:type="dxa"/>
            <w:tcBorders>
              <w:lef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ASTM D3528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991" w:type="dxa"/>
            <w:tcBorders>
              <w:righ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介电强度/kV/mm</w:t>
            </w:r>
          </w:p>
        </w:tc>
        <w:tc>
          <w:tcPr>
            <w:tcW w:w="1661" w:type="dxa"/>
            <w:tcBorders>
              <w:left w:val="nil"/>
              <w:righ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&gt;20</w:t>
            </w:r>
          </w:p>
        </w:tc>
        <w:tc>
          <w:tcPr>
            <w:tcW w:w="1548" w:type="dxa"/>
            <w:tcBorders>
              <w:lef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ASTM D149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991" w:type="dxa"/>
            <w:tcBorders>
              <w:righ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体积电阻率/Ω·cm</w:t>
            </w:r>
          </w:p>
        </w:tc>
        <w:tc>
          <w:tcPr>
            <w:tcW w:w="1661" w:type="dxa"/>
            <w:tcBorders>
              <w:left w:val="nil"/>
              <w:righ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&gt;1×10 15</w:t>
            </w:r>
          </w:p>
        </w:tc>
        <w:tc>
          <w:tcPr>
            <w:tcW w:w="1548" w:type="dxa"/>
            <w:tcBorders>
              <w:left w:val="nil"/>
            </w:tcBorders>
          </w:tcPr>
          <w:p>
            <w:pPr>
              <w:pStyle w:val="7"/>
              <w:spacing w:before="50"/>
              <w:ind w:left="179" w:leftChars="0" w:right="3" w:rightChars="0"/>
              <w:rPr>
                <w:rFonts w:hint="eastAsia" w:ascii="楷体" w:eastAsia="楷体"/>
                <w:sz w:val="18"/>
                <w:szCs w:val="22"/>
              </w:rPr>
            </w:pPr>
            <w:r>
              <w:rPr>
                <w:rFonts w:hint="eastAsia" w:ascii="楷体" w:eastAsia="楷体"/>
                <w:sz w:val="18"/>
                <w:szCs w:val="22"/>
              </w:rPr>
              <w:t>ASTM D257</w:t>
            </w:r>
          </w:p>
        </w:tc>
      </w:tr>
    </w:tbl>
    <w:p>
      <w:pPr>
        <w:spacing w:after="0"/>
        <w:rPr>
          <w:sz w:val="18"/>
        </w:rPr>
      </w:pPr>
    </w:p>
    <w:p>
      <w:pPr>
        <w:spacing w:after="0"/>
        <w:rPr>
          <w:sz w:val="18"/>
        </w:rPr>
      </w:pPr>
    </w:p>
    <w:p>
      <w:pPr>
        <w:spacing w:before="39" w:line="240" w:lineRule="auto"/>
        <w:ind w:right="140"/>
        <w:jc w:val="both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sectPr>
          <w:type w:val="continuous"/>
          <w:pgSz w:w="11910" w:h="16840"/>
          <w:pgMar w:top="720" w:right="720" w:bottom="720" w:left="720" w:header="720" w:footer="720" w:gutter="0"/>
          <w:cols w:equalWidth="0" w:num="2">
            <w:col w:w="4070" w:space="603"/>
            <w:col w:w="5797"/>
          </w:cols>
        </w:sectPr>
      </w:pPr>
    </w:p>
    <w:p>
      <w:pPr>
        <w:spacing w:before="39" w:line="240" w:lineRule="auto"/>
        <w:ind w:right="140"/>
        <w:jc w:val="both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kern w:val="2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应用方法</w:t>
      </w: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kern w:val="2"/>
          <w:sz w:val="22"/>
          <w:szCs w:val="21"/>
          <w:lang w:val="en-US" w:eastAsia="zh-CN" w:bidi="en-US"/>
        </w:rPr>
        <w:t>将被粘或被涂覆物表面整理干净，除去锈迹、灰尘和油污等。先用盖帽尖端刺破胶管封口，套上尖嘴，将胶液挤到已清理干净的表面，使之分布均匀，将被粘面合拢固定即可。将涂装好的部件置于空气中，室温固化 24 小时后即可投入使用。操作完成后，未用完的胶应立即拧紧盖帽，密封保存。再次使用时，若封口处有少许结皮，将其去除即可，不影响正常使用。</w:t>
      </w: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注意事项</w:t>
      </w:r>
    </w:p>
    <w:p>
      <w:pPr>
        <w:pStyle w:val="9"/>
        <w:numPr>
          <w:ilvl w:val="0"/>
          <w:numId w:val="0"/>
        </w:numPr>
        <w:tabs>
          <w:tab w:val="left" w:pos="295"/>
        </w:tabs>
        <w:spacing w:before="5" w:after="0" w:line="240" w:lineRule="auto"/>
        <w:ind w:right="0" w:rightChars="0" w:firstLine="440" w:firstLineChars="2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1、远离儿童存放。</w:t>
      </w:r>
    </w:p>
    <w:p>
      <w:pPr>
        <w:pStyle w:val="9"/>
        <w:numPr>
          <w:ilvl w:val="0"/>
          <w:numId w:val="0"/>
        </w:numPr>
        <w:tabs>
          <w:tab w:val="left" w:pos="295"/>
        </w:tabs>
        <w:spacing w:before="5" w:after="0" w:line="240" w:lineRule="auto"/>
        <w:ind w:right="0" w:rightChars="0" w:firstLine="440" w:firstLineChars="2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2、若不慎接触皮肤，擦拭干净，然后用清水冲洗。若不慎接触眼睛，立即用清水冲洗并到医院检查。</w:t>
      </w:r>
    </w:p>
    <w:p>
      <w:pPr>
        <w:pStyle w:val="9"/>
        <w:numPr>
          <w:ilvl w:val="0"/>
          <w:numId w:val="0"/>
        </w:numPr>
        <w:tabs>
          <w:tab w:val="left" w:pos="295"/>
        </w:tabs>
        <w:spacing w:before="5" w:after="0" w:line="240" w:lineRule="auto"/>
        <w:ind w:right="0" w:rightChars="0" w:firstLine="440" w:firstLineChars="20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3、建议在通风良好处使用。</w:t>
      </w: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包装规格</w:t>
      </w:r>
    </w:p>
    <w:p>
      <w:pPr>
        <w:pStyle w:val="3"/>
        <w:spacing w:before="153"/>
        <w:ind w:left="541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300ml/支，24 支/箱；100ml/支，100 支/箱。2.6L/支，4 支/箱。</w:t>
      </w: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储存</w:t>
      </w:r>
    </w:p>
    <w:p>
      <w:pPr>
        <w:pStyle w:val="3"/>
        <w:spacing w:before="153"/>
        <w:ind w:left="541" w:right="-86" w:rightChars="-43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在 30℃以下于阴凉干燥处密封保存。产品保质期为自生产日期后六个月。按一般化学品搬运、运输。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79" w:lineRule="exact"/>
        <w:jc w:val="both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decorative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447822">
    <w:nsid w:val="0053208E"/>
    <w:multiLevelType w:val="multilevel"/>
    <w:tmpl w:val="0053208E"/>
    <w:lvl w:ilvl="0" w:tentative="1">
      <w:start w:val="0"/>
      <w:numFmt w:val="bullet"/>
      <w:lvlText w:val="•"/>
      <w:lvlJc w:val="left"/>
      <w:pPr>
        <w:ind w:left="294" w:hanging="142"/>
      </w:pPr>
      <w:rPr>
        <w:rFonts w:hint="default" w:ascii="宋体" w:hAnsi="宋体" w:eastAsia="宋体" w:cs="宋体"/>
        <w:spacing w:val="1"/>
        <w:w w:val="100"/>
        <w:sz w:val="26"/>
        <w:szCs w:val="26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272" w:hanging="142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2245" w:hanging="142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3217" w:hanging="142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4190" w:hanging="142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5163" w:hanging="142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6135" w:hanging="142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7108" w:hanging="142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8081" w:hanging="142"/>
      </w:pPr>
      <w:rPr>
        <w:rFonts w:hint="default"/>
        <w:lang w:val="en-US" w:eastAsia="en-US" w:bidi="en-US"/>
      </w:rPr>
    </w:lvl>
  </w:abstractNum>
  <w:num w:numId="1">
    <w:abstractNumId w:val="54478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F3836"/>
    <w:rsid w:val="067F621B"/>
    <w:rsid w:val="0A492F5A"/>
    <w:rsid w:val="0F9A23EE"/>
    <w:rsid w:val="125F3836"/>
    <w:rsid w:val="1B841BE9"/>
    <w:rsid w:val="2AA53F7E"/>
    <w:rsid w:val="2D766F03"/>
    <w:rsid w:val="2FCB7D92"/>
    <w:rsid w:val="38257444"/>
    <w:rsid w:val="39C77075"/>
    <w:rsid w:val="3A2677D5"/>
    <w:rsid w:val="3A5128DB"/>
    <w:rsid w:val="44EB4D28"/>
    <w:rsid w:val="4F0A41C7"/>
    <w:rsid w:val="5BAF6C91"/>
    <w:rsid w:val="654F1542"/>
    <w:rsid w:val="6D4D3298"/>
    <w:rsid w:val="6ECB2D96"/>
    <w:rsid w:val="776033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12"/>
      <w:ind w:left="121"/>
      <w:outlineLvl w:val="1"/>
    </w:pPr>
    <w:rPr>
      <w:rFonts w:ascii="楷体" w:hAnsi="楷体" w:eastAsia="楷体" w:cs="楷体"/>
      <w:sz w:val="28"/>
      <w:szCs w:val="28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4"/>
      <w:szCs w:val="24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pPr>
      <w:ind w:left="56"/>
    </w:pPr>
    <w:rPr>
      <w:rFonts w:ascii="楷体" w:hAnsi="楷体" w:eastAsia="楷体" w:cs="楷体"/>
      <w:lang w:val="zh-CN" w:eastAsia="zh-CN" w:bidi="zh-CN"/>
    </w:rPr>
  </w:style>
  <w:style w:type="paragraph" w:customStyle="1" w:styleId="8">
    <w:name w:val="List Paragraph"/>
    <w:basedOn w:val="1"/>
    <w:qFormat/>
    <w:uiPriority w:val="1"/>
    <w:pPr>
      <w:spacing w:before="4"/>
      <w:ind w:left="782" w:hanging="86"/>
    </w:pPr>
    <w:rPr>
      <w:rFonts w:ascii="楷体" w:hAnsi="楷体" w:eastAsia="楷体" w:cs="楷体"/>
      <w:lang w:val="zh-CN" w:eastAsia="zh-CN" w:bidi="zh-CN"/>
    </w:rPr>
  </w:style>
  <w:style w:type="paragraph" w:customStyle="1" w:styleId="9">
    <w:name w:val="_Style 1"/>
    <w:basedOn w:val="1"/>
    <w:qFormat/>
    <w:uiPriority w:val="1"/>
    <w:pPr>
      <w:ind w:left="576" w:hanging="425"/>
    </w:pPr>
    <w:rPr>
      <w:rFonts w:ascii="楷体" w:hAnsi="楷体" w:eastAsia="楷体" w:cs="楷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728</Characters>
  <Lines>0</Lines>
  <Paragraphs>0</Paragraphs>
  <TotalTime>0</TotalTime>
  <ScaleCrop>false</ScaleCrop>
  <LinksUpToDate>false</LinksUpToDate>
  <CharactersWithSpaces>758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2018-05-02T00:58:00Z</dcterms:created>
  <dc:creator>Ice</dc:creator>
  <cp:lastModifiedBy>Administrator</cp:lastModifiedBy>
  <dcterms:modified xsi:type="dcterms:W3CDTF">2020-04-21T03:00:53Z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